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AC" w:rsidRPr="002879BD" w:rsidRDefault="0037130E" w:rsidP="002879BD">
      <w:pPr>
        <w:spacing w:after="0"/>
        <w:jc w:val="center"/>
        <w:rPr>
          <w:rFonts w:ascii="Arial" w:hAnsi="Arial" w:cs="Arial"/>
          <w:b/>
          <w:sz w:val="24"/>
          <w:szCs w:val="24"/>
        </w:rPr>
      </w:pPr>
      <w:bookmarkStart w:id="0" w:name="_GoBack"/>
      <w:bookmarkEnd w:id="0"/>
      <w:r w:rsidRPr="002879BD">
        <w:rPr>
          <w:rFonts w:ascii="Arial" w:hAnsi="Arial" w:cs="Arial"/>
          <w:b/>
          <w:sz w:val="24"/>
          <w:szCs w:val="24"/>
        </w:rPr>
        <w:t>Ege Eczacı Odaları Danışma Kurulu Toplantısı Sonuç Bildirgesi</w:t>
      </w:r>
    </w:p>
    <w:p w:rsidR="0037130E" w:rsidRPr="002879BD" w:rsidRDefault="0037130E" w:rsidP="002879BD">
      <w:pPr>
        <w:spacing w:after="0"/>
        <w:jc w:val="center"/>
        <w:rPr>
          <w:rFonts w:ascii="Arial" w:hAnsi="Arial" w:cs="Arial"/>
          <w:b/>
          <w:sz w:val="24"/>
          <w:szCs w:val="24"/>
        </w:rPr>
      </w:pPr>
      <w:r w:rsidRPr="002879BD">
        <w:rPr>
          <w:rFonts w:ascii="Arial" w:hAnsi="Arial" w:cs="Arial"/>
          <w:b/>
          <w:sz w:val="24"/>
          <w:szCs w:val="24"/>
        </w:rPr>
        <w:t>11.01.2025</w:t>
      </w:r>
    </w:p>
    <w:p w:rsidR="0037130E" w:rsidRPr="002879BD" w:rsidRDefault="0037130E" w:rsidP="002879BD">
      <w:pPr>
        <w:spacing w:after="0"/>
        <w:jc w:val="center"/>
        <w:rPr>
          <w:rFonts w:ascii="Arial" w:hAnsi="Arial" w:cs="Arial"/>
          <w:b/>
          <w:sz w:val="24"/>
          <w:szCs w:val="24"/>
        </w:rPr>
      </w:pPr>
      <w:r w:rsidRPr="002879BD">
        <w:rPr>
          <w:rFonts w:ascii="Arial" w:hAnsi="Arial" w:cs="Arial"/>
          <w:b/>
          <w:sz w:val="24"/>
          <w:szCs w:val="24"/>
        </w:rPr>
        <w:t>BALIKESİR</w:t>
      </w:r>
    </w:p>
    <w:p w:rsidR="00AB586A" w:rsidRPr="002879BD" w:rsidRDefault="00AB586A" w:rsidP="002879BD">
      <w:pPr>
        <w:spacing w:after="0"/>
        <w:jc w:val="both"/>
        <w:rPr>
          <w:rFonts w:ascii="Arial" w:hAnsi="Arial" w:cs="Arial"/>
        </w:rPr>
      </w:pPr>
    </w:p>
    <w:p w:rsidR="00C95538" w:rsidRPr="002879BD" w:rsidRDefault="0037130E" w:rsidP="002879BD">
      <w:pPr>
        <w:spacing w:after="0"/>
        <w:jc w:val="both"/>
        <w:rPr>
          <w:rFonts w:ascii="Arial" w:hAnsi="Arial" w:cs="Arial"/>
        </w:rPr>
      </w:pPr>
      <w:r w:rsidRPr="002879BD">
        <w:rPr>
          <w:rFonts w:ascii="Arial" w:hAnsi="Arial" w:cs="Arial"/>
        </w:rPr>
        <w:t>Ege Eczacı Odaları Danışma Kurulu toplantısı 11 Ocak 2025 Cumartesi günü 30. Bölge Balıkesir Eczacı Odasının ev sahipliğinde gerçekleştirilmiş ve aşağıdaki kararlar alınmıştır.</w:t>
      </w:r>
    </w:p>
    <w:p w:rsidR="00C95538" w:rsidRPr="002879BD" w:rsidRDefault="00C95538" w:rsidP="002879BD">
      <w:pPr>
        <w:jc w:val="both"/>
        <w:rPr>
          <w:rFonts w:ascii="Arial" w:hAnsi="Arial" w:cs="Arial"/>
        </w:rPr>
      </w:pPr>
    </w:p>
    <w:p w:rsidR="00C95538" w:rsidRPr="002879BD" w:rsidRDefault="00C95538" w:rsidP="002879BD">
      <w:pPr>
        <w:pStyle w:val="ListeParagraf"/>
        <w:numPr>
          <w:ilvl w:val="0"/>
          <w:numId w:val="2"/>
        </w:numPr>
        <w:jc w:val="both"/>
        <w:rPr>
          <w:rFonts w:ascii="Arial" w:hAnsi="Arial" w:cs="Arial"/>
        </w:rPr>
      </w:pPr>
      <w:r w:rsidRPr="002879BD">
        <w:rPr>
          <w:rFonts w:ascii="Arial" w:hAnsi="Arial" w:cs="Arial"/>
        </w:rPr>
        <w:t>Kamu Kurum İskontosu uygulanmayan veya eksik uygulanan ilaçların firmalarına Sosyal Güvenlik Kurumu’nun yaptırım uygulaması konusunda CİMER de dahil tüm kanallar kullanılarak talepte bulunulmalıdır. Bundan sonuç alınamadığı takdirde tüm eczanelerimizde ilgili ilaçların bulundurulmaması ve/veya satışının durdurulması konusunda merkez heyetine önerilmek üzere uygulanabilecek yöntemler ve hukuki boyutlarını da içeren çalışma yapılmalıdır.</w:t>
      </w:r>
    </w:p>
    <w:p w:rsidR="00AB586A" w:rsidRPr="002879BD" w:rsidRDefault="00AB586A" w:rsidP="002879BD">
      <w:pPr>
        <w:pStyle w:val="ListeParagraf"/>
        <w:ind w:left="390"/>
        <w:jc w:val="both"/>
        <w:rPr>
          <w:rFonts w:ascii="Arial" w:hAnsi="Arial" w:cs="Arial"/>
        </w:rPr>
      </w:pPr>
    </w:p>
    <w:p w:rsidR="00C95538" w:rsidRPr="002879BD" w:rsidRDefault="00586B3F" w:rsidP="002879BD">
      <w:pPr>
        <w:pStyle w:val="ListeParagraf"/>
        <w:numPr>
          <w:ilvl w:val="0"/>
          <w:numId w:val="2"/>
        </w:numPr>
        <w:jc w:val="both"/>
        <w:rPr>
          <w:rFonts w:ascii="Arial" w:hAnsi="Arial" w:cs="Arial"/>
        </w:rPr>
      </w:pPr>
      <w:r w:rsidRPr="002879BD">
        <w:rPr>
          <w:rFonts w:ascii="Arial" w:hAnsi="Arial" w:cs="Arial"/>
        </w:rPr>
        <w:t>Kamu Kurum İskontosu problemi yaşadığımız ilaçların satışının durdurulması halinde mağduriyet yaşanmaması ve bu ilaçlara yenilerinin eklenmesi konusu</w:t>
      </w:r>
      <w:r w:rsidR="00E365C3" w:rsidRPr="002879BD">
        <w:rPr>
          <w:rFonts w:ascii="Arial" w:hAnsi="Arial" w:cs="Arial"/>
        </w:rPr>
        <w:t>n</w:t>
      </w:r>
      <w:r w:rsidRPr="002879BD">
        <w:rPr>
          <w:rFonts w:ascii="Arial" w:hAnsi="Arial" w:cs="Arial"/>
        </w:rPr>
        <w:t>da caydırıcı olması adına bu ilaçların</w:t>
      </w:r>
      <w:r w:rsidR="00E365C3" w:rsidRPr="002879BD">
        <w:rPr>
          <w:rFonts w:ascii="Arial" w:hAnsi="Arial" w:cs="Arial"/>
        </w:rPr>
        <w:t xml:space="preserve"> eşdeğerlerinin</w:t>
      </w:r>
      <w:r w:rsidRPr="002879BD">
        <w:rPr>
          <w:rFonts w:ascii="Arial" w:hAnsi="Arial" w:cs="Arial"/>
        </w:rPr>
        <w:t xml:space="preserve"> ivedilikle Türk Eczacılar Birliği</w:t>
      </w:r>
      <w:r w:rsidR="00B55D2A" w:rsidRPr="002879BD">
        <w:rPr>
          <w:rFonts w:ascii="Arial" w:hAnsi="Arial" w:cs="Arial"/>
        </w:rPr>
        <w:t>’nin ilgili iştirakleri</w:t>
      </w:r>
      <w:r w:rsidRPr="002879BD">
        <w:rPr>
          <w:rFonts w:ascii="Arial" w:hAnsi="Arial" w:cs="Arial"/>
        </w:rPr>
        <w:t xml:space="preserve"> tarafından üretilmesi sağlanmalıdır.</w:t>
      </w:r>
    </w:p>
    <w:p w:rsidR="00AB586A" w:rsidRPr="002879BD" w:rsidRDefault="00AB586A" w:rsidP="002879BD">
      <w:pPr>
        <w:pStyle w:val="ListeParagraf"/>
        <w:ind w:left="390"/>
        <w:jc w:val="both"/>
        <w:rPr>
          <w:rFonts w:ascii="Arial" w:hAnsi="Arial" w:cs="Arial"/>
        </w:rPr>
      </w:pPr>
    </w:p>
    <w:p w:rsidR="00C95538" w:rsidRPr="002879BD" w:rsidRDefault="00586B3F" w:rsidP="002879BD">
      <w:pPr>
        <w:pStyle w:val="ListeParagraf"/>
        <w:numPr>
          <w:ilvl w:val="0"/>
          <w:numId w:val="2"/>
        </w:numPr>
        <w:jc w:val="both"/>
        <w:rPr>
          <w:rFonts w:ascii="Arial" w:hAnsi="Arial" w:cs="Arial"/>
        </w:rPr>
      </w:pPr>
      <w:r w:rsidRPr="002879BD">
        <w:rPr>
          <w:rFonts w:ascii="Arial" w:hAnsi="Arial" w:cs="Arial"/>
        </w:rPr>
        <w:t xml:space="preserve">Türk Eczacılar </w:t>
      </w:r>
      <w:r w:rsidR="00865AB0" w:rsidRPr="002879BD">
        <w:rPr>
          <w:rFonts w:ascii="Arial" w:hAnsi="Arial" w:cs="Arial"/>
        </w:rPr>
        <w:t>Birliği tarafından son haline getirilerek odalarımız</w:t>
      </w:r>
      <w:r w:rsidR="00BF5E1A" w:rsidRPr="002879BD">
        <w:rPr>
          <w:rFonts w:ascii="Arial" w:hAnsi="Arial" w:cs="Arial"/>
        </w:rPr>
        <w:t>a</w:t>
      </w:r>
      <w:r w:rsidR="00865AB0" w:rsidRPr="002879BD">
        <w:rPr>
          <w:rFonts w:ascii="Arial" w:hAnsi="Arial" w:cs="Arial"/>
        </w:rPr>
        <w:t xml:space="preserve"> gönderilen eylem planının</w:t>
      </w:r>
      <w:r w:rsidRPr="002879BD">
        <w:rPr>
          <w:rFonts w:ascii="Arial" w:hAnsi="Arial" w:cs="Arial"/>
        </w:rPr>
        <w:t xml:space="preserve"> eczacı tabanına </w:t>
      </w:r>
      <w:r w:rsidR="00AA05EE" w:rsidRPr="002879BD">
        <w:rPr>
          <w:rFonts w:ascii="Arial" w:hAnsi="Arial" w:cs="Arial"/>
        </w:rPr>
        <w:t xml:space="preserve">ivedilikle </w:t>
      </w:r>
      <w:r w:rsidRPr="002879BD">
        <w:rPr>
          <w:rFonts w:ascii="Arial" w:hAnsi="Arial" w:cs="Arial"/>
        </w:rPr>
        <w:t>açıklanması ve</w:t>
      </w:r>
      <w:r w:rsidR="00865AB0" w:rsidRPr="002879BD">
        <w:rPr>
          <w:rFonts w:ascii="Arial" w:hAnsi="Arial" w:cs="Arial"/>
        </w:rPr>
        <w:t xml:space="preserve"> en kısa sürede ayrıntılı</w:t>
      </w:r>
      <w:r w:rsidRPr="002879BD">
        <w:rPr>
          <w:rFonts w:ascii="Arial" w:hAnsi="Arial" w:cs="Arial"/>
        </w:rPr>
        <w:t xml:space="preserve"> taban bilgilendir</w:t>
      </w:r>
      <w:r w:rsidR="00865AB0" w:rsidRPr="002879BD">
        <w:rPr>
          <w:rFonts w:ascii="Arial" w:hAnsi="Arial" w:cs="Arial"/>
        </w:rPr>
        <w:t>ilmesi</w:t>
      </w:r>
      <w:r w:rsidR="00AA05EE" w:rsidRPr="002879BD">
        <w:rPr>
          <w:rFonts w:ascii="Arial" w:hAnsi="Arial" w:cs="Arial"/>
        </w:rPr>
        <w:t xml:space="preserve"> yapılması gerekmektedir.</w:t>
      </w:r>
    </w:p>
    <w:p w:rsidR="00AB586A" w:rsidRPr="002879BD" w:rsidRDefault="00AB586A" w:rsidP="002879BD">
      <w:pPr>
        <w:pStyle w:val="ListeParagraf"/>
        <w:ind w:left="390"/>
        <w:jc w:val="both"/>
        <w:rPr>
          <w:rFonts w:ascii="Arial" w:hAnsi="Arial" w:cs="Arial"/>
        </w:rPr>
      </w:pPr>
    </w:p>
    <w:p w:rsidR="00C95538" w:rsidRPr="002879BD" w:rsidRDefault="00C95538" w:rsidP="002879BD">
      <w:pPr>
        <w:pStyle w:val="ListeParagraf"/>
        <w:numPr>
          <w:ilvl w:val="0"/>
          <w:numId w:val="2"/>
        </w:numPr>
        <w:jc w:val="both"/>
        <w:rPr>
          <w:rFonts w:ascii="Arial" w:hAnsi="Arial" w:cs="Arial"/>
        </w:rPr>
      </w:pPr>
      <w:r w:rsidRPr="002879BD">
        <w:rPr>
          <w:rFonts w:ascii="Arial" w:hAnsi="Arial" w:cs="Arial"/>
        </w:rPr>
        <w:t>Ekonomik olarak girdiğimiz dar boğazdan çıkabilmek amacı ile başlamış olan eylemlilik sürecinde odalarımız üzerine düşeni yapacaktır. Bu süreçte sağlık alanında memnuniyet konusunda eczacıların vazgeçilmez olduğu yetkili mercilere anlatılmalıdır. Ancak SGK protokolüyle ilgili kazanımların yanı sıra, İlaç Fiyat Kararnamesindeki kademelerin belli bir değişkene bağlanarak zamanında ve sürekli güncellenmesi de sağlanmalıdır.</w:t>
      </w:r>
    </w:p>
    <w:p w:rsidR="00AB586A" w:rsidRPr="002879BD" w:rsidRDefault="00AB586A" w:rsidP="002879BD">
      <w:pPr>
        <w:pStyle w:val="ListeParagraf"/>
        <w:ind w:left="390"/>
        <w:jc w:val="both"/>
        <w:rPr>
          <w:rFonts w:ascii="Arial" w:hAnsi="Arial" w:cs="Arial"/>
        </w:rPr>
      </w:pPr>
    </w:p>
    <w:p w:rsidR="00312837" w:rsidRDefault="00AA05EE" w:rsidP="00312837">
      <w:pPr>
        <w:pStyle w:val="ListeParagraf"/>
        <w:numPr>
          <w:ilvl w:val="0"/>
          <w:numId w:val="2"/>
        </w:numPr>
        <w:jc w:val="both"/>
        <w:rPr>
          <w:rFonts w:ascii="Arial" w:hAnsi="Arial" w:cs="Arial"/>
        </w:rPr>
      </w:pPr>
      <w:r w:rsidRPr="002879BD">
        <w:rPr>
          <w:rFonts w:ascii="Arial" w:hAnsi="Arial" w:cs="Arial"/>
        </w:rPr>
        <w:t>E</w:t>
      </w:r>
      <w:r w:rsidR="00270666" w:rsidRPr="002879BD">
        <w:rPr>
          <w:rFonts w:ascii="Arial" w:hAnsi="Arial" w:cs="Arial"/>
        </w:rPr>
        <w:t xml:space="preserve">czane Otomasyon </w:t>
      </w:r>
      <w:r w:rsidRPr="002879BD">
        <w:rPr>
          <w:rFonts w:ascii="Arial" w:hAnsi="Arial" w:cs="Arial"/>
        </w:rPr>
        <w:t>S</w:t>
      </w:r>
      <w:r w:rsidR="00270666" w:rsidRPr="002879BD">
        <w:rPr>
          <w:rFonts w:ascii="Arial" w:hAnsi="Arial" w:cs="Arial"/>
        </w:rPr>
        <w:t>istemleri (EOS)</w:t>
      </w:r>
      <w:r w:rsidRPr="002879BD">
        <w:rPr>
          <w:rFonts w:ascii="Arial" w:hAnsi="Arial" w:cs="Arial"/>
        </w:rPr>
        <w:t xml:space="preserve"> ve Y</w:t>
      </w:r>
      <w:r w:rsidR="00270666" w:rsidRPr="002879BD">
        <w:rPr>
          <w:rFonts w:ascii="Arial" w:hAnsi="Arial" w:cs="Arial"/>
        </w:rPr>
        <w:t xml:space="preserve">eni nesil </w:t>
      </w:r>
      <w:r w:rsidRPr="002879BD">
        <w:rPr>
          <w:rFonts w:ascii="Arial" w:hAnsi="Arial" w:cs="Arial"/>
        </w:rPr>
        <w:t>Ö</w:t>
      </w:r>
      <w:r w:rsidR="00270666" w:rsidRPr="002879BD">
        <w:rPr>
          <w:rFonts w:ascii="Arial" w:hAnsi="Arial" w:cs="Arial"/>
        </w:rPr>
        <w:t xml:space="preserve">deme </w:t>
      </w:r>
      <w:r w:rsidRPr="002879BD">
        <w:rPr>
          <w:rFonts w:ascii="Arial" w:hAnsi="Arial" w:cs="Arial"/>
        </w:rPr>
        <w:t>K</w:t>
      </w:r>
      <w:r w:rsidR="007F1B44" w:rsidRPr="002879BD">
        <w:rPr>
          <w:rFonts w:ascii="Arial" w:hAnsi="Arial" w:cs="Arial"/>
        </w:rPr>
        <w:t>ay</w:t>
      </w:r>
      <w:r w:rsidR="00270666" w:rsidRPr="002879BD">
        <w:rPr>
          <w:rFonts w:ascii="Arial" w:hAnsi="Arial" w:cs="Arial"/>
        </w:rPr>
        <w:t xml:space="preserve">dedici </w:t>
      </w:r>
      <w:r w:rsidRPr="002879BD">
        <w:rPr>
          <w:rFonts w:ascii="Arial" w:hAnsi="Arial" w:cs="Arial"/>
        </w:rPr>
        <w:t>C</w:t>
      </w:r>
      <w:r w:rsidR="00270666" w:rsidRPr="002879BD">
        <w:rPr>
          <w:rFonts w:ascii="Arial" w:hAnsi="Arial" w:cs="Arial"/>
        </w:rPr>
        <w:t>ihaz (YÖKC)</w:t>
      </w:r>
      <w:r w:rsidRPr="002879BD">
        <w:rPr>
          <w:rFonts w:ascii="Arial" w:hAnsi="Arial" w:cs="Arial"/>
        </w:rPr>
        <w:t xml:space="preserve"> entegrasyonunun eczane pratiğine uygun hale getirilmesi için zamana ihtiyaç olduğu aşikardır. Bu</w:t>
      </w:r>
      <w:r w:rsidR="00BF5E1A" w:rsidRPr="002879BD">
        <w:rPr>
          <w:rFonts w:ascii="Arial" w:hAnsi="Arial" w:cs="Arial"/>
        </w:rPr>
        <w:t xml:space="preserve"> konuda tüm muhataplarla gerekli</w:t>
      </w:r>
      <w:r w:rsidRPr="002879BD">
        <w:rPr>
          <w:rFonts w:ascii="Arial" w:hAnsi="Arial" w:cs="Arial"/>
        </w:rPr>
        <w:t xml:space="preserve"> görüşmelerin yapılarak meslektaşlarımızın bu süreçte daha fazla zarar görmemesi garanti </w:t>
      </w:r>
      <w:r w:rsidR="001548DD" w:rsidRPr="002879BD">
        <w:rPr>
          <w:rFonts w:ascii="Arial" w:hAnsi="Arial" w:cs="Arial"/>
        </w:rPr>
        <w:t>altına alınmalıdır. Ayrıca ente</w:t>
      </w:r>
      <w:r w:rsidRPr="002879BD">
        <w:rPr>
          <w:rFonts w:ascii="Arial" w:hAnsi="Arial" w:cs="Arial"/>
        </w:rPr>
        <w:t xml:space="preserve">grasyona geçilirken, veresiye ve emanet ilaç gibi hem Maliye Bakanlığınca uygun bulunmayan hem de eczanelere külfet oluşturan uygulamalar </w:t>
      </w:r>
      <w:r w:rsidR="001548DD" w:rsidRPr="002879BD">
        <w:rPr>
          <w:rFonts w:ascii="Arial" w:hAnsi="Arial" w:cs="Arial"/>
        </w:rPr>
        <w:t xml:space="preserve">ülke genelinde </w:t>
      </w:r>
      <w:r w:rsidRPr="002879BD">
        <w:rPr>
          <w:rFonts w:ascii="Arial" w:hAnsi="Arial" w:cs="Arial"/>
        </w:rPr>
        <w:t>sonlandırılmalıdır.</w:t>
      </w:r>
    </w:p>
    <w:p w:rsidR="00312837" w:rsidRPr="00312837" w:rsidRDefault="00312837" w:rsidP="00312837">
      <w:pPr>
        <w:pStyle w:val="ListeParagraf"/>
        <w:rPr>
          <w:rFonts w:ascii="Arial" w:hAnsi="Arial" w:cs="Arial"/>
        </w:rPr>
      </w:pPr>
    </w:p>
    <w:p w:rsidR="00312837" w:rsidRPr="00312837" w:rsidRDefault="00312837" w:rsidP="00312837">
      <w:pPr>
        <w:pStyle w:val="ListeParagraf"/>
        <w:ind w:left="390"/>
        <w:jc w:val="both"/>
        <w:rPr>
          <w:rFonts w:ascii="Arial" w:hAnsi="Arial" w:cs="Arial"/>
        </w:rPr>
      </w:pPr>
    </w:p>
    <w:p w:rsidR="00BF5E1A" w:rsidRPr="002879BD" w:rsidRDefault="00BF5E1A" w:rsidP="002879BD">
      <w:pPr>
        <w:pStyle w:val="ListeParagraf"/>
        <w:numPr>
          <w:ilvl w:val="0"/>
          <w:numId w:val="2"/>
        </w:numPr>
        <w:jc w:val="both"/>
        <w:rPr>
          <w:rFonts w:ascii="Arial" w:hAnsi="Arial" w:cs="Arial"/>
        </w:rPr>
      </w:pPr>
      <w:r w:rsidRPr="002879BD">
        <w:rPr>
          <w:rFonts w:ascii="Arial" w:hAnsi="Arial" w:cs="Arial"/>
        </w:rPr>
        <w:t xml:space="preserve">Periton diyaliz solüsyonu </w:t>
      </w:r>
      <w:r w:rsidR="009657E9" w:rsidRPr="002879BD">
        <w:rPr>
          <w:rFonts w:ascii="Arial" w:hAnsi="Arial" w:cs="Arial"/>
        </w:rPr>
        <w:t>ihtiva eden</w:t>
      </w:r>
      <w:r w:rsidR="00CA3D4D">
        <w:rPr>
          <w:rFonts w:ascii="Arial" w:hAnsi="Arial" w:cs="Arial"/>
        </w:rPr>
        <w:t xml:space="preserve"> </w:t>
      </w:r>
      <w:r w:rsidR="006520F5" w:rsidRPr="002879BD">
        <w:rPr>
          <w:rFonts w:ascii="Arial" w:hAnsi="Arial" w:cs="Arial"/>
        </w:rPr>
        <w:t xml:space="preserve">reçetelerin </w:t>
      </w:r>
      <w:r w:rsidR="009657E9" w:rsidRPr="002879BD">
        <w:rPr>
          <w:rFonts w:ascii="Arial" w:hAnsi="Arial" w:cs="Arial"/>
        </w:rPr>
        <w:t>ilaçlarını temin ettiğimiz depoların ödeme şartlarını günden güne zorlaştırması ve SGK ile paralel bir şart sağlamaması, reçetelerin eczanelerimiz tarafından karşılanamamasına</w:t>
      </w:r>
      <w:r w:rsidR="00A76A53" w:rsidRPr="002879BD">
        <w:rPr>
          <w:rFonts w:ascii="Arial" w:hAnsi="Arial" w:cs="Arial"/>
        </w:rPr>
        <w:t xml:space="preserve"> sebep olmaktadır. SGK nezdine bu reçeteler için Kan Ürünü reçeteleri </w:t>
      </w:r>
      <w:r w:rsidR="008B437A" w:rsidRPr="002879BD">
        <w:rPr>
          <w:rFonts w:ascii="Arial" w:hAnsi="Arial" w:cs="Arial"/>
        </w:rPr>
        <w:t xml:space="preserve">gibi </w:t>
      </w:r>
      <w:r w:rsidR="00A76A53" w:rsidRPr="002879BD">
        <w:rPr>
          <w:rFonts w:ascii="Arial" w:hAnsi="Arial" w:cs="Arial"/>
        </w:rPr>
        <w:t xml:space="preserve">ayrı bir klasman oluşturularak geri ödemesinin </w:t>
      </w:r>
      <w:r w:rsidR="008B437A" w:rsidRPr="002879BD">
        <w:rPr>
          <w:rFonts w:ascii="Arial" w:hAnsi="Arial" w:cs="Arial"/>
        </w:rPr>
        <w:t>kısa vadede yapılması ile ilgili protokole madde eklenmesi sağlanmalıdır.</w:t>
      </w:r>
    </w:p>
    <w:p w:rsidR="00986084" w:rsidRPr="002879BD" w:rsidRDefault="00AB586A" w:rsidP="002879BD">
      <w:pPr>
        <w:ind w:left="30" w:firstLine="360"/>
        <w:jc w:val="both"/>
        <w:rPr>
          <w:rFonts w:ascii="Arial" w:hAnsi="Arial" w:cs="Arial"/>
        </w:rPr>
      </w:pPr>
      <w:r w:rsidRPr="002879BD">
        <w:rPr>
          <w:rFonts w:ascii="Arial" w:hAnsi="Arial" w:cs="Arial"/>
        </w:rPr>
        <w:t xml:space="preserve">Saygılarımızla. </w:t>
      </w:r>
    </w:p>
    <w:p w:rsidR="00AB586A" w:rsidRPr="002879BD" w:rsidRDefault="00AB586A" w:rsidP="002879BD">
      <w:pPr>
        <w:ind w:left="30"/>
        <w:jc w:val="both"/>
        <w:rPr>
          <w:rFonts w:ascii="Arial" w:hAnsi="Arial" w:cs="Arial"/>
          <w:sz w:val="18"/>
          <w:szCs w:val="18"/>
        </w:rPr>
      </w:pP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3. BÖLGE İZMİR ECZACI ODAS</w:t>
      </w:r>
      <w:r w:rsidR="002879BD" w:rsidRPr="00312837">
        <w:rPr>
          <w:rFonts w:ascii="Arial" w:hAnsi="Arial" w:cs="Arial"/>
          <w:b/>
          <w:sz w:val="20"/>
          <w:szCs w:val="20"/>
        </w:rPr>
        <w:t>I</w:t>
      </w:r>
      <w:r w:rsidR="002879BD" w:rsidRPr="00312837">
        <w:rPr>
          <w:rFonts w:ascii="Arial" w:hAnsi="Arial" w:cs="Arial"/>
          <w:b/>
          <w:sz w:val="20"/>
          <w:szCs w:val="20"/>
        </w:rPr>
        <w:tab/>
      </w:r>
      <w:r w:rsidR="002879BD" w:rsidRPr="00312837">
        <w:rPr>
          <w:rFonts w:ascii="Arial" w:hAnsi="Arial" w:cs="Arial"/>
          <w:b/>
          <w:sz w:val="20"/>
          <w:szCs w:val="20"/>
        </w:rPr>
        <w:tab/>
        <w:t>TEB 32. BÖLGE MUĞLA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7. BÖLGE BURSA ECZACI ODASI</w:t>
      </w:r>
      <w:r w:rsidR="002879BD" w:rsidRPr="00312837">
        <w:rPr>
          <w:rFonts w:ascii="Arial" w:hAnsi="Arial" w:cs="Arial"/>
          <w:b/>
          <w:sz w:val="20"/>
          <w:szCs w:val="20"/>
        </w:rPr>
        <w:tab/>
      </w:r>
      <w:r w:rsidR="002879BD" w:rsidRPr="00312837">
        <w:rPr>
          <w:rFonts w:ascii="Arial" w:hAnsi="Arial" w:cs="Arial"/>
          <w:b/>
          <w:sz w:val="20"/>
          <w:szCs w:val="20"/>
        </w:rPr>
        <w:tab/>
        <w:t>TEB 33. BÖLGE AFYONKARAHİSAR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9. BÖLGE ESKİŞEHİR ECZACI ODASI</w:t>
      </w:r>
      <w:r w:rsidR="002879BD" w:rsidRPr="00312837">
        <w:rPr>
          <w:rFonts w:ascii="Arial" w:hAnsi="Arial" w:cs="Arial"/>
          <w:b/>
          <w:sz w:val="20"/>
          <w:szCs w:val="20"/>
        </w:rPr>
        <w:tab/>
        <w:t>TEB 35. BÖLGE KÜTAHYA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15. BÖLGE ISPARTA ECZACI ODAS</w:t>
      </w:r>
      <w:r w:rsidR="002879BD" w:rsidRPr="00312837">
        <w:rPr>
          <w:rFonts w:ascii="Arial" w:hAnsi="Arial" w:cs="Arial"/>
          <w:b/>
          <w:sz w:val="20"/>
          <w:szCs w:val="20"/>
        </w:rPr>
        <w:t>I</w:t>
      </w:r>
      <w:r w:rsidR="002879BD" w:rsidRPr="00312837">
        <w:rPr>
          <w:rFonts w:ascii="Arial" w:hAnsi="Arial" w:cs="Arial"/>
          <w:b/>
          <w:sz w:val="20"/>
          <w:szCs w:val="20"/>
        </w:rPr>
        <w:tab/>
        <w:t>TEB 36. BÖLGE ÇANAKKALE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16.BÖLGE DENİZLİ ECZACI ODASI</w:t>
      </w:r>
      <w:r w:rsidR="002879BD" w:rsidRPr="00312837">
        <w:rPr>
          <w:rFonts w:ascii="Arial" w:hAnsi="Arial" w:cs="Arial"/>
          <w:b/>
          <w:sz w:val="20"/>
          <w:szCs w:val="20"/>
        </w:rPr>
        <w:tab/>
      </w:r>
      <w:r w:rsidR="002879BD" w:rsidRPr="00312837">
        <w:rPr>
          <w:rFonts w:ascii="Arial" w:hAnsi="Arial" w:cs="Arial"/>
          <w:b/>
          <w:sz w:val="20"/>
          <w:szCs w:val="20"/>
        </w:rPr>
        <w:tab/>
        <w:t>TEB 39. BÖLGE EDİRNE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21. BÖLGE AYDIN ECZACI ODASI</w:t>
      </w:r>
      <w:r w:rsidR="002879BD" w:rsidRPr="00312837">
        <w:rPr>
          <w:rFonts w:ascii="Arial" w:hAnsi="Arial" w:cs="Arial"/>
          <w:b/>
          <w:sz w:val="20"/>
          <w:szCs w:val="20"/>
        </w:rPr>
        <w:tab/>
      </w:r>
      <w:r w:rsidR="002879BD" w:rsidRPr="00312837">
        <w:rPr>
          <w:rFonts w:ascii="Arial" w:hAnsi="Arial" w:cs="Arial"/>
          <w:b/>
          <w:sz w:val="20"/>
          <w:szCs w:val="20"/>
        </w:rPr>
        <w:tab/>
        <w:t>TEB 46. BÖLGE UŞAK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29. BÖLGE MANİSA ECZACI ODASI</w:t>
      </w:r>
      <w:r w:rsidR="002879BD" w:rsidRPr="00312837">
        <w:rPr>
          <w:rFonts w:ascii="Arial" w:hAnsi="Arial" w:cs="Arial"/>
          <w:b/>
          <w:sz w:val="20"/>
          <w:szCs w:val="20"/>
        </w:rPr>
        <w:tab/>
      </w:r>
      <w:r w:rsidR="002879BD" w:rsidRPr="00312837">
        <w:rPr>
          <w:rFonts w:ascii="Arial" w:hAnsi="Arial" w:cs="Arial"/>
          <w:b/>
          <w:sz w:val="20"/>
          <w:szCs w:val="20"/>
        </w:rPr>
        <w:tab/>
        <w:t>TEB 54. BÖLGE BURDUR ECZACI ODASI</w:t>
      </w:r>
    </w:p>
    <w:p w:rsidR="00AB586A" w:rsidRPr="00312837" w:rsidRDefault="00AB586A" w:rsidP="00312837">
      <w:pPr>
        <w:ind w:left="30" w:firstLine="360"/>
        <w:rPr>
          <w:rFonts w:ascii="Arial" w:hAnsi="Arial" w:cs="Arial"/>
          <w:b/>
          <w:sz w:val="20"/>
          <w:szCs w:val="20"/>
        </w:rPr>
      </w:pPr>
      <w:r w:rsidRPr="00312837">
        <w:rPr>
          <w:rFonts w:ascii="Arial" w:hAnsi="Arial" w:cs="Arial"/>
          <w:b/>
          <w:sz w:val="20"/>
          <w:szCs w:val="20"/>
        </w:rPr>
        <w:t>TEB 30. BÖLGE BALIKESİR ECZACI ODASI</w:t>
      </w:r>
    </w:p>
    <w:p w:rsidR="00AB586A" w:rsidRPr="002879BD" w:rsidRDefault="00AB586A" w:rsidP="002879BD">
      <w:pPr>
        <w:ind w:left="30"/>
        <w:jc w:val="both"/>
        <w:rPr>
          <w:rFonts w:ascii="Arial" w:hAnsi="Arial" w:cs="Arial"/>
          <w:b/>
          <w:sz w:val="18"/>
          <w:szCs w:val="18"/>
        </w:rPr>
      </w:pPr>
    </w:p>
    <w:sectPr w:rsidR="00AB586A" w:rsidRPr="002879BD" w:rsidSect="00312837">
      <w:pgSz w:w="11906" w:h="16838"/>
      <w:pgMar w:top="73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37" w:rsidRDefault="00A40A37" w:rsidP="002879BD">
      <w:pPr>
        <w:spacing w:after="0" w:line="240" w:lineRule="auto"/>
      </w:pPr>
      <w:r>
        <w:separator/>
      </w:r>
    </w:p>
  </w:endnote>
  <w:endnote w:type="continuationSeparator" w:id="1">
    <w:p w:rsidR="00A40A37" w:rsidRDefault="00A40A37" w:rsidP="00287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37" w:rsidRDefault="00A40A37" w:rsidP="002879BD">
      <w:pPr>
        <w:spacing w:after="0" w:line="240" w:lineRule="auto"/>
      </w:pPr>
      <w:r>
        <w:separator/>
      </w:r>
    </w:p>
  </w:footnote>
  <w:footnote w:type="continuationSeparator" w:id="1">
    <w:p w:rsidR="00A40A37" w:rsidRDefault="00A40A37" w:rsidP="00287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7141"/>
    <w:multiLevelType w:val="hybridMultilevel"/>
    <w:tmpl w:val="837E045C"/>
    <w:lvl w:ilvl="0" w:tplc="A2C6395A">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
    <w:nsid w:val="17747D3E"/>
    <w:multiLevelType w:val="hybridMultilevel"/>
    <w:tmpl w:val="BA7E18E2"/>
    <w:lvl w:ilvl="0" w:tplc="A2C6395A">
      <w:start w:val="1"/>
      <w:numFmt w:val="decimal"/>
      <w:lvlText w:val="%1."/>
      <w:lvlJc w:val="left"/>
      <w:pPr>
        <w:ind w:left="39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5255D"/>
    <w:rsid w:val="00035A3F"/>
    <w:rsid w:val="000E1DDF"/>
    <w:rsid w:val="000F5DB8"/>
    <w:rsid w:val="001548DD"/>
    <w:rsid w:val="00270666"/>
    <w:rsid w:val="002879BD"/>
    <w:rsid w:val="002F24D6"/>
    <w:rsid w:val="00312837"/>
    <w:rsid w:val="0037130E"/>
    <w:rsid w:val="0039438E"/>
    <w:rsid w:val="00442118"/>
    <w:rsid w:val="00474E3D"/>
    <w:rsid w:val="00477534"/>
    <w:rsid w:val="00586B3F"/>
    <w:rsid w:val="005B5B32"/>
    <w:rsid w:val="006520F5"/>
    <w:rsid w:val="00682BC4"/>
    <w:rsid w:val="007031D1"/>
    <w:rsid w:val="007523A6"/>
    <w:rsid w:val="007F1B44"/>
    <w:rsid w:val="0085255D"/>
    <w:rsid w:val="00865AB0"/>
    <w:rsid w:val="008B16AC"/>
    <w:rsid w:val="008B437A"/>
    <w:rsid w:val="008B4D5C"/>
    <w:rsid w:val="00914003"/>
    <w:rsid w:val="00963E3A"/>
    <w:rsid w:val="009657E9"/>
    <w:rsid w:val="0098299A"/>
    <w:rsid w:val="00986084"/>
    <w:rsid w:val="009A07A2"/>
    <w:rsid w:val="00A2755B"/>
    <w:rsid w:val="00A40A37"/>
    <w:rsid w:val="00A76A53"/>
    <w:rsid w:val="00AA05EE"/>
    <w:rsid w:val="00AB586A"/>
    <w:rsid w:val="00B55D2A"/>
    <w:rsid w:val="00B872B7"/>
    <w:rsid w:val="00BF5E1A"/>
    <w:rsid w:val="00C806F9"/>
    <w:rsid w:val="00C95538"/>
    <w:rsid w:val="00CA3D4D"/>
    <w:rsid w:val="00CB3ABA"/>
    <w:rsid w:val="00D7293B"/>
    <w:rsid w:val="00E365C3"/>
    <w:rsid w:val="00E95BF6"/>
    <w:rsid w:val="00F370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130E"/>
    <w:pPr>
      <w:ind w:left="720"/>
      <w:contextualSpacing/>
    </w:pPr>
  </w:style>
  <w:style w:type="paragraph" w:styleId="stbilgi">
    <w:name w:val="header"/>
    <w:basedOn w:val="Normal"/>
    <w:link w:val="stbilgiChar"/>
    <w:uiPriority w:val="99"/>
    <w:semiHidden/>
    <w:unhideWhenUsed/>
    <w:rsid w:val="002879B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879BD"/>
  </w:style>
  <w:style w:type="paragraph" w:styleId="Altbilgi">
    <w:name w:val="footer"/>
    <w:basedOn w:val="Normal"/>
    <w:link w:val="AltbilgiChar"/>
    <w:uiPriority w:val="99"/>
    <w:semiHidden/>
    <w:unhideWhenUsed/>
    <w:rsid w:val="002879B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879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SAYMAN</dc:creator>
  <cp:lastModifiedBy>pc</cp:lastModifiedBy>
  <cp:revision>3</cp:revision>
  <cp:lastPrinted>2025-01-16T08:17:00Z</cp:lastPrinted>
  <dcterms:created xsi:type="dcterms:W3CDTF">2025-01-16T09:02:00Z</dcterms:created>
  <dcterms:modified xsi:type="dcterms:W3CDTF">2025-01-16T12:23:00Z</dcterms:modified>
</cp:coreProperties>
</file>